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0E" w:rsidRPr="001E61C9" w:rsidRDefault="000B77EB" w:rsidP="0033310E">
      <w:pPr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,</w:t>
      </w:r>
      <w:r w:rsidR="0033310E" w:rsidRPr="001E61C9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Основные показатели финансовой деятельности организации образования</w:t>
      </w:r>
    </w:p>
    <w:p w:rsidR="0033310E" w:rsidRPr="001E61C9" w:rsidRDefault="0033310E" w:rsidP="0033310E">
      <w:pPr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</w:pPr>
      <w:r w:rsidRPr="001E61C9"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               </w:t>
      </w:r>
      <w:r w:rsidR="00B12B1D"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                                </w:t>
      </w:r>
      <w:r w:rsidRPr="001E61C9"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   </w:t>
      </w:r>
      <w:r w:rsidR="00B12B1D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 xml:space="preserve">на </w:t>
      </w:r>
      <w:r w:rsidR="008F3ED9"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>2024</w:t>
      </w:r>
      <w:r w:rsidRPr="001E61C9"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год</w:t>
      </w:r>
    </w:p>
    <w:p w:rsidR="00F131C0" w:rsidRDefault="00F131C0" w:rsidP="00F131C0">
      <w:pPr>
        <w:rPr>
          <w:rFonts w:ascii="Arial Narrow" w:hAnsi="Arial Narrow" w:cs="Arial"/>
          <w:b/>
          <w:bCs/>
          <w:color w:val="000000"/>
          <w:sz w:val="28"/>
          <w:szCs w:val="28"/>
          <w:u w:val="single"/>
          <w:lang w:val="kk-KZ" w:eastAsia="ru-RU"/>
        </w:rPr>
      </w:pPr>
      <w:r>
        <w:rPr>
          <w:rFonts w:ascii="Arial Narrow" w:hAnsi="Arial Narrow"/>
          <w:b/>
          <w:bCs/>
          <w:color w:val="000000"/>
          <w:sz w:val="28"/>
          <w:szCs w:val="28"/>
          <w:u w:val="single"/>
          <w:lang w:val="kk-KZ" w:eastAsia="ru-RU"/>
        </w:rPr>
        <w:t>ГККП «Ясли-сад «Ботак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kk-KZ" w:eastAsia="ru-RU"/>
        </w:rPr>
        <w:t>ө</w:t>
      </w:r>
      <w:r>
        <w:rPr>
          <w:rFonts w:ascii="Arial Narrow" w:hAnsi="Arial Narrow" w:cs="Arial"/>
          <w:b/>
          <w:bCs/>
          <w:color w:val="000000"/>
          <w:sz w:val="28"/>
          <w:szCs w:val="28"/>
          <w:u w:val="single"/>
          <w:lang w:val="kk-KZ" w:eastAsia="ru-RU"/>
        </w:rPr>
        <w:t>з» поселка Жолымбет при отделе образования по Шортандинскому  району управления образования Акмолинской области»</w:t>
      </w:r>
    </w:p>
    <w:p w:rsidR="0033310E" w:rsidRDefault="00F131C0" w:rsidP="0033310E">
      <w:pPr>
        <w:rPr>
          <w:rFonts w:ascii="Arial Narrow" w:hAnsi="Arial Narrow" w:cs="Arial"/>
          <w:sz w:val="28"/>
          <w:szCs w:val="28"/>
          <w:u w:val="single"/>
          <w:lang w:val="kk-KZ"/>
        </w:rPr>
      </w:pPr>
      <w:r>
        <w:rPr>
          <w:rFonts w:ascii="Arial Narrow" w:hAnsi="Arial Narrow" w:cs="Arial"/>
          <w:sz w:val="28"/>
          <w:szCs w:val="28"/>
          <w:u w:val="single"/>
          <w:lang w:val="kk-KZ"/>
        </w:rPr>
        <w:t xml:space="preserve">Периодичность: </w:t>
      </w:r>
      <w:r>
        <w:rPr>
          <w:rFonts w:ascii="Arial Narrow" w:hAnsi="Arial Narrow" w:cs="Arial"/>
          <w:sz w:val="28"/>
          <w:szCs w:val="28"/>
          <w:lang w:val="kk-KZ"/>
        </w:rPr>
        <w:t xml:space="preserve">  </w:t>
      </w:r>
      <w:r>
        <w:rPr>
          <w:rFonts w:ascii="Arial Narrow" w:hAnsi="Arial Narrow" w:cs="Arial"/>
          <w:sz w:val="28"/>
          <w:szCs w:val="28"/>
          <w:u w:val="single"/>
          <w:lang w:val="kk-KZ"/>
        </w:rPr>
        <w:t>ежеквартально</w:t>
      </w:r>
    </w:p>
    <w:p w:rsidR="0033310E" w:rsidRDefault="009A3AB2" w:rsidP="0033310E">
      <w:pPr>
        <w:rPr>
          <w:rFonts w:ascii="Arial Narrow" w:hAnsi="Arial Narrow" w:cs="Arial"/>
          <w:sz w:val="28"/>
          <w:szCs w:val="28"/>
          <w:u w:val="single"/>
          <w:lang w:val="kk-KZ"/>
        </w:rPr>
      </w:pPr>
      <w:r>
        <w:rPr>
          <w:rFonts w:ascii="Arial Narrow" w:hAnsi="Arial Narrow" w:cs="Arial"/>
          <w:sz w:val="28"/>
          <w:szCs w:val="28"/>
          <w:u w:val="single"/>
          <w:lang w:val="kk-KZ"/>
        </w:rPr>
        <w:t>1 квартал</w:t>
      </w:r>
    </w:p>
    <w:tbl>
      <w:tblPr>
        <w:tblW w:w="109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6"/>
        <w:gridCol w:w="1559"/>
        <w:gridCol w:w="1736"/>
      </w:tblGrid>
      <w:tr w:rsidR="0033310E" w:rsidRPr="00AE1963" w:rsidTr="00A81700">
        <w:tc>
          <w:tcPr>
            <w:tcW w:w="7656" w:type="dxa"/>
            <w:vMerge w:val="restart"/>
          </w:tcPr>
          <w:p w:rsidR="0033310E" w:rsidRPr="00AE1963" w:rsidRDefault="0033310E" w:rsidP="00A81700">
            <w:pPr>
              <w:spacing w:after="0" w:line="240" w:lineRule="auto"/>
              <w:jc w:val="center"/>
              <w:rPr>
                <w:rFonts w:ascii="Arial Narrow" w:hAnsi="Arial Narrow" w:cs="Arial"/>
                <w:sz w:val="28"/>
                <w:szCs w:val="28"/>
                <w:u w:val="single"/>
                <w:lang w:val="kk-KZ"/>
              </w:rPr>
            </w:pPr>
            <w:r w:rsidRPr="00AE1963">
              <w:rPr>
                <w:rFonts w:ascii="Arial Narrow" w:hAnsi="Arial Narrow"/>
                <w:b/>
                <w:bCs/>
                <w:color w:val="000000"/>
                <w:sz w:val="27"/>
                <w:szCs w:val="27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Merge w:val="restart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>ед.изм.</w:t>
            </w:r>
          </w:p>
        </w:tc>
        <w:tc>
          <w:tcPr>
            <w:tcW w:w="1736" w:type="dxa"/>
          </w:tcPr>
          <w:p w:rsidR="0033310E" w:rsidRPr="00AE1963" w:rsidRDefault="000B77EB" w:rsidP="00A81700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>2024</w:t>
            </w:r>
            <w:r w:rsidR="0033310E" w:rsidRPr="00AE1963"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 xml:space="preserve"> год</w:t>
            </w:r>
          </w:p>
        </w:tc>
      </w:tr>
      <w:tr w:rsidR="0033310E" w:rsidRPr="00AE1963" w:rsidTr="00A81700">
        <w:tc>
          <w:tcPr>
            <w:tcW w:w="7656" w:type="dxa"/>
            <w:vMerge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559" w:type="dxa"/>
            <w:vMerge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73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>план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Среднегодовой контингент воспитанников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чел.</w:t>
            </w:r>
          </w:p>
        </w:tc>
        <w:tc>
          <w:tcPr>
            <w:tcW w:w="173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140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средний расход на 1-го воспитанника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AE1963" w:rsidRDefault="00BF0C7F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422,44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Всего расходы, тыс.тенге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7C7871" w:rsidRDefault="009A3AB2" w:rsidP="00A817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29390,0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в том числе: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  <w:tc>
          <w:tcPr>
            <w:tcW w:w="173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Фонд заработной платы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F67EE4" w:rsidRDefault="00AF6B04" w:rsidP="00A817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26302</w:t>
            </w:r>
            <w:r w:rsidR="009A3AB2">
              <w:rPr>
                <w:rFonts w:ascii="Arial Narrow" w:hAnsi="Arial Narrow" w:cs="Arial"/>
                <w:b/>
                <w:sz w:val="24"/>
                <w:szCs w:val="24"/>
              </w:rPr>
              <w:t>,0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из них: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  <w:tc>
          <w:tcPr>
            <w:tcW w:w="173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Административный персонал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AE1963" w:rsidRDefault="00AF6B04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2091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штатная численность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73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среднемесячная заработная плата 1 ед</w:t>
            </w: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AE1963" w:rsidRDefault="00AF6B04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697,0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 xml:space="preserve"> Основной персонал – воспитатели, специалисты,учителя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AE1963" w:rsidRDefault="00AF6B04" w:rsidP="00A817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16650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штатная численность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21</w:t>
            </w:r>
          </w:p>
        </w:tc>
        <w:tc>
          <w:tcPr>
            <w:tcW w:w="173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среднемесячная заработная плата 1 ед.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AE1963" w:rsidRDefault="00F476C0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110,3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 xml:space="preserve">Вспомогательный и технический персонал 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127167" w:rsidRDefault="009A3AB2" w:rsidP="00A817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7561</w:t>
            </w:r>
            <w:r w:rsidR="003A6589">
              <w:rPr>
                <w:rFonts w:ascii="Arial Narrow" w:hAnsi="Arial Narrow" w:cs="Arial"/>
                <w:b/>
                <w:sz w:val="24"/>
                <w:szCs w:val="24"/>
              </w:rPr>
              <w:t>,0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штатная численность</w:t>
            </w:r>
          </w:p>
        </w:tc>
        <w:tc>
          <w:tcPr>
            <w:tcW w:w="1559" w:type="dxa"/>
          </w:tcPr>
          <w:p w:rsidR="0033310E" w:rsidRPr="00AE1963" w:rsidRDefault="007C203F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21,05</w:t>
            </w:r>
          </w:p>
        </w:tc>
        <w:tc>
          <w:tcPr>
            <w:tcW w:w="173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среднемесячная заработная плата 1 ед</w:t>
            </w: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AE1963" w:rsidRDefault="00F476C0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67,8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Компенсационные выплаты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ED3C7B" w:rsidRDefault="009A3AB2" w:rsidP="00A817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Налоги и другие обязательные платежи в бюджет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20397D" w:rsidRDefault="00490767" w:rsidP="00A817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2384,1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Коммунальные расходы</w:t>
            </w:r>
          </w:p>
          <w:p w:rsidR="0033310E" w:rsidRPr="00AE1963" w:rsidRDefault="0033310E" w:rsidP="00A81700">
            <w:pPr>
              <w:pStyle w:val="a3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(свет, вода, отопление, связь, интернет, аренда помещений и др)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AE1963" w:rsidRDefault="009A3AB2" w:rsidP="00A817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605</w:t>
            </w:r>
            <w:r w:rsidR="00B12B1D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,0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Текущий ремонт помещений и оборудования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AE1963" w:rsidRDefault="009A3AB2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0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Капитальные расходы</w:t>
            </w:r>
          </w:p>
          <w:p w:rsidR="0033310E" w:rsidRPr="00AE1963" w:rsidRDefault="0033310E" w:rsidP="00A81700">
            <w:pPr>
              <w:pStyle w:val="a3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(капитальный ремонт, приобретение основных средств)</w:t>
            </w: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B12B1D" w:rsidRDefault="009A3AB2" w:rsidP="00A817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</w:p>
        </w:tc>
      </w:tr>
      <w:tr w:rsidR="0033310E" w:rsidRPr="00AE1963" w:rsidTr="00A81700">
        <w:tc>
          <w:tcPr>
            <w:tcW w:w="7656" w:type="dxa"/>
          </w:tcPr>
          <w:p w:rsidR="0033310E" w:rsidRPr="00AE1963" w:rsidRDefault="0033310E" w:rsidP="00A817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Прочие расходы</w:t>
            </w:r>
          </w:p>
          <w:p w:rsidR="0033310E" w:rsidRPr="00AE1963" w:rsidRDefault="0033310E" w:rsidP="00A81700">
            <w:pPr>
              <w:pStyle w:val="a3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3310E" w:rsidRPr="00AE1963" w:rsidRDefault="0033310E" w:rsidP="00A817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33310E" w:rsidRPr="00B12B1D" w:rsidRDefault="00490767" w:rsidP="00A817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98,9</w:t>
            </w:r>
          </w:p>
        </w:tc>
      </w:tr>
    </w:tbl>
    <w:p w:rsidR="0033310E" w:rsidRPr="001E61C9" w:rsidRDefault="0033310E" w:rsidP="0033310E">
      <w:pPr>
        <w:rPr>
          <w:rFonts w:ascii="Arial Narrow" w:hAnsi="Arial Narrow" w:cs="Arial"/>
          <w:sz w:val="28"/>
          <w:szCs w:val="28"/>
          <w:u w:val="single"/>
          <w:lang w:val="kk-KZ"/>
        </w:rPr>
      </w:pPr>
    </w:p>
    <w:p w:rsidR="0033310E" w:rsidRPr="00164F5D" w:rsidRDefault="0033310E" w:rsidP="0033310E">
      <w:pPr>
        <w:rPr>
          <w:rFonts w:ascii="Arial Narrow" w:hAnsi="Arial Narrow" w:cs="Arial"/>
          <w:lang w:val="kk-KZ"/>
        </w:rPr>
      </w:pPr>
    </w:p>
    <w:p w:rsidR="00070778" w:rsidRDefault="00070778"/>
    <w:p w:rsidR="009A3AB2" w:rsidRDefault="009A3AB2"/>
    <w:p w:rsidR="009A3AB2" w:rsidRDefault="009A3AB2"/>
    <w:p w:rsidR="009A3AB2" w:rsidRDefault="009A3AB2"/>
    <w:p w:rsidR="00490767" w:rsidRDefault="00490767"/>
    <w:p w:rsidR="00490767" w:rsidRPr="001E61C9" w:rsidRDefault="00490767" w:rsidP="00490767">
      <w:pPr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lastRenderedPageBreak/>
        <w:t>,</w:t>
      </w:r>
      <w:r w:rsidRPr="001E61C9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Основные показатели финансовой деятельности организации образования</w:t>
      </w:r>
    </w:p>
    <w:p w:rsidR="00490767" w:rsidRPr="001E61C9" w:rsidRDefault="00490767" w:rsidP="00490767">
      <w:pPr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</w:pPr>
      <w:r w:rsidRPr="001E61C9"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               </w:t>
      </w:r>
      <w:r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                                </w:t>
      </w:r>
      <w:r w:rsidRPr="001E61C9"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   </w:t>
      </w:r>
      <w: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>2024</w:t>
      </w:r>
      <w:r w:rsidRPr="001E61C9"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год</w:t>
      </w:r>
    </w:p>
    <w:p w:rsidR="00490767" w:rsidRDefault="00490767" w:rsidP="00490767">
      <w:pPr>
        <w:rPr>
          <w:rFonts w:ascii="Arial Narrow" w:hAnsi="Arial Narrow" w:cs="Arial"/>
          <w:b/>
          <w:bCs/>
          <w:color w:val="000000"/>
          <w:sz w:val="28"/>
          <w:szCs w:val="28"/>
          <w:u w:val="single"/>
          <w:lang w:val="kk-KZ" w:eastAsia="ru-RU"/>
        </w:rPr>
      </w:pPr>
      <w:r>
        <w:rPr>
          <w:rFonts w:ascii="Arial Narrow" w:hAnsi="Arial Narrow"/>
          <w:b/>
          <w:bCs/>
          <w:color w:val="000000"/>
          <w:sz w:val="28"/>
          <w:szCs w:val="28"/>
          <w:u w:val="single"/>
          <w:lang w:val="kk-KZ" w:eastAsia="ru-RU"/>
        </w:rPr>
        <w:t>ГККП «Ясли-сад «Ботак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kk-KZ" w:eastAsia="ru-RU"/>
        </w:rPr>
        <w:t>ө</w:t>
      </w:r>
      <w:r>
        <w:rPr>
          <w:rFonts w:ascii="Arial Narrow" w:hAnsi="Arial Narrow" w:cs="Arial"/>
          <w:b/>
          <w:bCs/>
          <w:color w:val="000000"/>
          <w:sz w:val="28"/>
          <w:szCs w:val="28"/>
          <w:u w:val="single"/>
          <w:lang w:val="kk-KZ" w:eastAsia="ru-RU"/>
        </w:rPr>
        <w:t>з» поселка Жолымбет при отделе образования по Шортандинскому  району управления образования Акмолинской области»</w:t>
      </w:r>
    </w:p>
    <w:p w:rsidR="00490767" w:rsidRDefault="00490767" w:rsidP="00490767">
      <w:pPr>
        <w:rPr>
          <w:rFonts w:ascii="Arial Narrow" w:hAnsi="Arial Narrow" w:cs="Arial"/>
          <w:sz w:val="28"/>
          <w:szCs w:val="28"/>
          <w:u w:val="single"/>
          <w:lang w:val="kk-KZ"/>
        </w:rPr>
      </w:pPr>
      <w:r>
        <w:rPr>
          <w:rFonts w:ascii="Arial Narrow" w:hAnsi="Arial Narrow" w:cs="Arial"/>
          <w:sz w:val="28"/>
          <w:szCs w:val="28"/>
          <w:u w:val="single"/>
          <w:lang w:val="kk-KZ"/>
        </w:rPr>
        <w:t xml:space="preserve">Периодичность: </w:t>
      </w:r>
      <w:r>
        <w:rPr>
          <w:rFonts w:ascii="Arial Narrow" w:hAnsi="Arial Narrow" w:cs="Arial"/>
          <w:sz w:val="28"/>
          <w:szCs w:val="28"/>
          <w:lang w:val="kk-KZ"/>
        </w:rPr>
        <w:t xml:space="preserve">  </w:t>
      </w:r>
      <w:r>
        <w:rPr>
          <w:rFonts w:ascii="Arial Narrow" w:hAnsi="Arial Narrow" w:cs="Arial"/>
          <w:sz w:val="28"/>
          <w:szCs w:val="28"/>
          <w:u w:val="single"/>
          <w:lang w:val="kk-KZ"/>
        </w:rPr>
        <w:t>ежеквартально</w:t>
      </w:r>
    </w:p>
    <w:p w:rsidR="00490767" w:rsidRDefault="00490767" w:rsidP="00490767">
      <w:pPr>
        <w:rPr>
          <w:rFonts w:ascii="Arial Narrow" w:hAnsi="Arial Narrow" w:cs="Arial"/>
          <w:sz w:val="28"/>
          <w:szCs w:val="28"/>
          <w:u w:val="single"/>
          <w:lang w:val="kk-KZ"/>
        </w:rPr>
      </w:pPr>
      <w:r>
        <w:rPr>
          <w:rFonts w:ascii="Arial Narrow" w:hAnsi="Arial Narrow" w:cs="Arial"/>
          <w:sz w:val="28"/>
          <w:szCs w:val="28"/>
          <w:u w:val="single"/>
          <w:lang w:val="kk-KZ"/>
        </w:rPr>
        <w:t>2 квартал</w:t>
      </w:r>
    </w:p>
    <w:tbl>
      <w:tblPr>
        <w:tblW w:w="109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6"/>
        <w:gridCol w:w="1559"/>
        <w:gridCol w:w="1736"/>
      </w:tblGrid>
      <w:tr w:rsidR="00490767" w:rsidRPr="00AE1963" w:rsidTr="006C2906">
        <w:tc>
          <w:tcPr>
            <w:tcW w:w="7656" w:type="dxa"/>
            <w:vMerge w:val="restart"/>
          </w:tcPr>
          <w:p w:rsidR="00490767" w:rsidRPr="00AE1963" w:rsidRDefault="00490767" w:rsidP="006C2906">
            <w:pPr>
              <w:spacing w:after="0" w:line="240" w:lineRule="auto"/>
              <w:jc w:val="center"/>
              <w:rPr>
                <w:rFonts w:ascii="Arial Narrow" w:hAnsi="Arial Narrow" w:cs="Arial"/>
                <w:sz w:val="28"/>
                <w:szCs w:val="28"/>
                <w:u w:val="single"/>
                <w:lang w:val="kk-KZ"/>
              </w:rPr>
            </w:pPr>
            <w:r w:rsidRPr="00AE1963">
              <w:rPr>
                <w:rFonts w:ascii="Arial Narrow" w:hAnsi="Arial Narrow"/>
                <w:b/>
                <w:bCs/>
                <w:color w:val="000000"/>
                <w:sz w:val="27"/>
                <w:szCs w:val="27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Merge w:val="restart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>ед.изм.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>2024</w:t>
            </w:r>
            <w:r w:rsidRPr="00AE1963"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 xml:space="preserve"> год</w:t>
            </w:r>
          </w:p>
        </w:tc>
      </w:tr>
      <w:tr w:rsidR="00490767" w:rsidRPr="00AE1963" w:rsidTr="006C2906">
        <w:tc>
          <w:tcPr>
            <w:tcW w:w="7656" w:type="dxa"/>
            <w:vMerge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559" w:type="dxa"/>
            <w:vMerge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>план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Среднегодовой контингент воспитанников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чел.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140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средний расход на 1-го воспитанника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422,44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Всего расходы, тыс.тенге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7C7871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47091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в том числе: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Фонд заработной платы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F67EE4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35936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из них: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Административный персонал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3005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штатная численность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среднемесячная заработная плата 1 ед</w:t>
            </w: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697,0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 xml:space="preserve"> Основной персонал – воспитатели, специалисты,учителя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23245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штатная численность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21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среднемесячная заработная плата 1 ед.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110,3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 xml:space="preserve">Вспомогательный и технический персонал 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127167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9686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штатная численность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21,05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среднемесячная заработная плата 1 ед</w:t>
            </w: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67,8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Компенсационные выплаты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ED3C7B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2927,0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Налоги и другие обязательные платежи в бюджет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20397D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6893,0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Коммунальные расходы</w:t>
            </w:r>
          </w:p>
          <w:p w:rsidR="00490767" w:rsidRPr="00AE1963" w:rsidRDefault="00490767" w:rsidP="006C2906">
            <w:pPr>
              <w:pStyle w:val="a3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(свет, вода, отопление, связь, интернет, аренда помещений и др)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883,0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Текущий ремонт помещений и оборудования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0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Капитальные расходы</w:t>
            </w:r>
          </w:p>
          <w:p w:rsidR="00490767" w:rsidRPr="00AE1963" w:rsidRDefault="00490767" w:rsidP="006C2906">
            <w:pPr>
              <w:pStyle w:val="a3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(капитальный ремонт, приобретение основных средств)</w:t>
            </w: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B12B1D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</w:p>
        </w:tc>
      </w:tr>
      <w:tr w:rsidR="00490767" w:rsidRPr="00AE1963" w:rsidTr="006C2906">
        <w:tc>
          <w:tcPr>
            <w:tcW w:w="7656" w:type="dxa"/>
          </w:tcPr>
          <w:p w:rsidR="00490767" w:rsidRPr="00AE1963" w:rsidRDefault="00490767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Прочие расходы</w:t>
            </w:r>
          </w:p>
          <w:p w:rsidR="00490767" w:rsidRPr="00AE1963" w:rsidRDefault="00490767" w:rsidP="006C2906">
            <w:pPr>
              <w:pStyle w:val="a3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90767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490767" w:rsidRPr="00B12B1D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452,4</w:t>
            </w:r>
          </w:p>
        </w:tc>
      </w:tr>
    </w:tbl>
    <w:p w:rsidR="00490767" w:rsidRPr="001E61C9" w:rsidRDefault="00490767" w:rsidP="00490767">
      <w:pPr>
        <w:rPr>
          <w:rFonts w:ascii="Arial Narrow" w:hAnsi="Arial Narrow" w:cs="Arial"/>
          <w:sz w:val="28"/>
          <w:szCs w:val="28"/>
          <w:u w:val="single"/>
          <w:lang w:val="kk-KZ"/>
        </w:rPr>
      </w:pPr>
    </w:p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490767" w:rsidRDefault="00490767"/>
    <w:p w:rsidR="009A3AB2" w:rsidRDefault="009A3AB2"/>
    <w:p w:rsidR="009A3AB2" w:rsidRDefault="009A3AB2"/>
    <w:p w:rsidR="00490767" w:rsidRDefault="00490767" w:rsidP="009A3AB2">
      <w:pP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</w:p>
    <w:p w:rsidR="00490767" w:rsidRDefault="00490767" w:rsidP="009A3AB2">
      <w:pP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</w:p>
    <w:p w:rsidR="00490767" w:rsidRDefault="00490767" w:rsidP="009A3AB2">
      <w:pP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</w:p>
    <w:p w:rsidR="00490767" w:rsidRDefault="00490767" w:rsidP="009A3AB2">
      <w:pP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</w:pPr>
    </w:p>
    <w:p w:rsidR="009A3AB2" w:rsidRPr="001E61C9" w:rsidRDefault="009A3AB2" w:rsidP="009A3AB2">
      <w:pPr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lastRenderedPageBreak/>
        <w:t>,</w:t>
      </w:r>
      <w:r w:rsidRPr="001E61C9"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>Основные показатели финансовой деятельности организации образования</w:t>
      </w:r>
    </w:p>
    <w:p w:rsidR="009A3AB2" w:rsidRPr="001E61C9" w:rsidRDefault="009A3AB2" w:rsidP="009A3AB2">
      <w:pPr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</w:pPr>
      <w:r w:rsidRPr="001E61C9"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               </w:t>
      </w:r>
      <w:r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                                </w:t>
      </w:r>
      <w:r w:rsidRPr="001E61C9"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   </w:t>
      </w:r>
      <w:r>
        <w:rPr>
          <w:rFonts w:ascii="Arial Narrow" w:hAnsi="Arial Narrow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>2024</w:t>
      </w:r>
      <w:r w:rsidRPr="001E61C9">
        <w:rPr>
          <w:rFonts w:ascii="Arial Narrow" w:hAnsi="Arial Narrow"/>
          <w:b/>
          <w:bCs/>
          <w:color w:val="000000"/>
          <w:sz w:val="28"/>
          <w:szCs w:val="28"/>
          <w:lang w:val="kk-KZ" w:eastAsia="ru-RU"/>
        </w:rPr>
        <w:t xml:space="preserve"> год</w:t>
      </w:r>
    </w:p>
    <w:p w:rsidR="009A3AB2" w:rsidRDefault="009A3AB2" w:rsidP="009A3AB2">
      <w:pPr>
        <w:rPr>
          <w:rFonts w:ascii="Arial Narrow" w:hAnsi="Arial Narrow" w:cs="Arial"/>
          <w:b/>
          <w:bCs/>
          <w:color w:val="000000"/>
          <w:sz w:val="28"/>
          <w:szCs w:val="28"/>
          <w:u w:val="single"/>
          <w:lang w:val="kk-KZ" w:eastAsia="ru-RU"/>
        </w:rPr>
      </w:pPr>
      <w:r>
        <w:rPr>
          <w:rFonts w:ascii="Arial Narrow" w:hAnsi="Arial Narrow"/>
          <w:b/>
          <w:bCs/>
          <w:color w:val="000000"/>
          <w:sz w:val="28"/>
          <w:szCs w:val="28"/>
          <w:u w:val="single"/>
          <w:lang w:val="kk-KZ" w:eastAsia="ru-RU"/>
        </w:rPr>
        <w:t>ГККП «Ясли-сад «Ботак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kk-KZ" w:eastAsia="ru-RU"/>
        </w:rPr>
        <w:t>ө</w:t>
      </w:r>
      <w:r>
        <w:rPr>
          <w:rFonts w:ascii="Arial Narrow" w:hAnsi="Arial Narrow" w:cs="Arial"/>
          <w:b/>
          <w:bCs/>
          <w:color w:val="000000"/>
          <w:sz w:val="28"/>
          <w:szCs w:val="28"/>
          <w:u w:val="single"/>
          <w:lang w:val="kk-KZ" w:eastAsia="ru-RU"/>
        </w:rPr>
        <w:t>з» поселка Жолымбет при отделе образования по Шортандинскому  району управления образования Акмолинской области»</w:t>
      </w:r>
    </w:p>
    <w:p w:rsidR="009A3AB2" w:rsidRDefault="009A3AB2" w:rsidP="009A3AB2">
      <w:pPr>
        <w:rPr>
          <w:rFonts w:ascii="Arial Narrow" w:hAnsi="Arial Narrow" w:cs="Arial"/>
          <w:sz w:val="28"/>
          <w:szCs w:val="28"/>
          <w:u w:val="single"/>
          <w:lang w:val="kk-KZ"/>
        </w:rPr>
      </w:pPr>
      <w:r>
        <w:rPr>
          <w:rFonts w:ascii="Arial Narrow" w:hAnsi="Arial Narrow" w:cs="Arial"/>
          <w:sz w:val="28"/>
          <w:szCs w:val="28"/>
          <w:u w:val="single"/>
          <w:lang w:val="kk-KZ"/>
        </w:rPr>
        <w:t xml:space="preserve">Периодичность: </w:t>
      </w:r>
      <w:r>
        <w:rPr>
          <w:rFonts w:ascii="Arial Narrow" w:hAnsi="Arial Narrow" w:cs="Arial"/>
          <w:sz w:val="28"/>
          <w:szCs w:val="28"/>
          <w:lang w:val="kk-KZ"/>
        </w:rPr>
        <w:t xml:space="preserve">  </w:t>
      </w:r>
      <w:r>
        <w:rPr>
          <w:rFonts w:ascii="Arial Narrow" w:hAnsi="Arial Narrow" w:cs="Arial"/>
          <w:sz w:val="28"/>
          <w:szCs w:val="28"/>
          <w:u w:val="single"/>
          <w:lang w:val="kk-KZ"/>
        </w:rPr>
        <w:t>ежеквартально</w:t>
      </w:r>
    </w:p>
    <w:p w:rsidR="009A3AB2" w:rsidRDefault="00490767" w:rsidP="009A3AB2">
      <w:pPr>
        <w:rPr>
          <w:rFonts w:ascii="Arial Narrow" w:hAnsi="Arial Narrow" w:cs="Arial"/>
          <w:sz w:val="28"/>
          <w:szCs w:val="28"/>
          <w:u w:val="single"/>
          <w:lang w:val="kk-KZ"/>
        </w:rPr>
      </w:pPr>
      <w:r>
        <w:rPr>
          <w:rFonts w:ascii="Arial Narrow" w:hAnsi="Arial Narrow" w:cs="Arial"/>
          <w:sz w:val="28"/>
          <w:szCs w:val="28"/>
          <w:u w:val="single"/>
          <w:lang w:val="kk-KZ"/>
        </w:rPr>
        <w:t>3</w:t>
      </w:r>
      <w:r w:rsidR="009A3AB2">
        <w:rPr>
          <w:rFonts w:ascii="Arial Narrow" w:hAnsi="Arial Narrow" w:cs="Arial"/>
          <w:sz w:val="28"/>
          <w:szCs w:val="28"/>
          <w:u w:val="single"/>
          <w:lang w:val="kk-KZ"/>
        </w:rPr>
        <w:t xml:space="preserve"> квартал</w:t>
      </w:r>
      <w:bookmarkStart w:id="0" w:name="_GoBack"/>
      <w:bookmarkEnd w:id="0"/>
    </w:p>
    <w:tbl>
      <w:tblPr>
        <w:tblW w:w="109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6"/>
        <w:gridCol w:w="1559"/>
        <w:gridCol w:w="1736"/>
      </w:tblGrid>
      <w:tr w:rsidR="009A3AB2" w:rsidRPr="00AE1963" w:rsidTr="006C2906">
        <w:tc>
          <w:tcPr>
            <w:tcW w:w="7656" w:type="dxa"/>
            <w:vMerge w:val="restart"/>
          </w:tcPr>
          <w:p w:rsidR="009A3AB2" w:rsidRPr="00AE1963" w:rsidRDefault="009A3AB2" w:rsidP="006C2906">
            <w:pPr>
              <w:spacing w:after="0" w:line="240" w:lineRule="auto"/>
              <w:jc w:val="center"/>
              <w:rPr>
                <w:rFonts w:ascii="Arial Narrow" w:hAnsi="Arial Narrow" w:cs="Arial"/>
                <w:sz w:val="28"/>
                <w:szCs w:val="28"/>
                <w:u w:val="single"/>
                <w:lang w:val="kk-KZ"/>
              </w:rPr>
            </w:pPr>
            <w:r w:rsidRPr="00AE1963">
              <w:rPr>
                <w:rFonts w:ascii="Arial Narrow" w:hAnsi="Arial Narrow"/>
                <w:b/>
                <w:bCs/>
                <w:color w:val="000000"/>
                <w:sz w:val="27"/>
                <w:szCs w:val="27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Merge w:val="restart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>ед.изм.</w:t>
            </w: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>2024</w:t>
            </w:r>
            <w:r w:rsidRPr="00AE1963"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 xml:space="preserve"> год</w:t>
            </w:r>
          </w:p>
        </w:tc>
      </w:tr>
      <w:tr w:rsidR="009A3AB2" w:rsidRPr="00AE1963" w:rsidTr="006C2906">
        <w:tc>
          <w:tcPr>
            <w:tcW w:w="7656" w:type="dxa"/>
            <w:vMerge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559" w:type="dxa"/>
            <w:vMerge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8"/>
                <w:szCs w:val="28"/>
                <w:u w:val="single"/>
                <w:lang w:val="kk-KZ"/>
              </w:rPr>
              <w:t>план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Среднегодовой контингент воспитанников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чел.</w:t>
            </w: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140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средний расход на 1-го воспитанника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422,44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Всего расходы, тыс.тенге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7C7871" w:rsidRDefault="00423B0F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30647,4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в том числе: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Фонд заработной платы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F67EE4" w:rsidRDefault="00423B0F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28115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из них: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Административный персонал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AE1963" w:rsidRDefault="00423B0F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2235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штатная численность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среднемесячная заработная плата 1 ед</w:t>
            </w: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697,0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 xml:space="preserve"> Основной персонал – воспитатели, специалисты,учителя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AE1963" w:rsidRDefault="00423B0F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18256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штатная численность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21</w:t>
            </w: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среднемесячная заработная плата 1 ед.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110,3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 xml:space="preserve">Вспомогательный и технический персонал 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127167" w:rsidRDefault="00423B0F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7624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>штатная численность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21,05</w:t>
            </w: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среднемесячная заработная плата 1 ед</w:t>
            </w:r>
            <w:r w:rsidRPr="00AE1963">
              <w:rPr>
                <w:rFonts w:ascii="Arial Narrow" w:hAnsi="Arial Narrow" w:cs="Arial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67,8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Компенсационные выплаты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ED3C7B" w:rsidRDefault="00423B0F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745,5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Налоги и другие обязательные платежи в бюджет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20397D" w:rsidRDefault="009A3AB2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Коммунальные расходы</w:t>
            </w:r>
          </w:p>
          <w:p w:rsidR="009A3AB2" w:rsidRPr="00AE1963" w:rsidRDefault="009A3AB2" w:rsidP="006C2906">
            <w:pPr>
              <w:pStyle w:val="a3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(свет, вода, отопление, связь, интернет, аренда помещений и др)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AE1963" w:rsidRDefault="00490767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585,9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Текущий ремонт помещений и оборудования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>
              <w:rPr>
                <w:rFonts w:ascii="Arial Narrow" w:hAnsi="Arial Narrow" w:cs="Arial"/>
                <w:sz w:val="24"/>
                <w:szCs w:val="24"/>
                <w:lang w:val="kk-KZ"/>
              </w:rPr>
              <w:t>0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Капитальные расходы</w:t>
            </w:r>
          </w:p>
          <w:p w:rsidR="009A3AB2" w:rsidRPr="00AE1963" w:rsidRDefault="009A3AB2" w:rsidP="006C2906">
            <w:pPr>
              <w:pStyle w:val="a3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(капитальный ремонт, приобретение основных средств)</w:t>
            </w: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B12B1D" w:rsidRDefault="009A3AB2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</w:p>
        </w:tc>
      </w:tr>
      <w:tr w:rsidR="009A3AB2" w:rsidRPr="00AE1963" w:rsidTr="006C2906">
        <w:tc>
          <w:tcPr>
            <w:tcW w:w="7656" w:type="dxa"/>
          </w:tcPr>
          <w:p w:rsidR="009A3AB2" w:rsidRPr="00AE1963" w:rsidRDefault="009A3AB2" w:rsidP="004907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b/>
                <w:sz w:val="24"/>
                <w:szCs w:val="24"/>
                <w:lang w:val="kk-KZ"/>
              </w:rPr>
              <w:t>Прочие расходы</w:t>
            </w:r>
          </w:p>
          <w:p w:rsidR="009A3AB2" w:rsidRPr="00AE1963" w:rsidRDefault="009A3AB2" w:rsidP="006C2906">
            <w:pPr>
              <w:pStyle w:val="a3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A3AB2" w:rsidRPr="00AE1963" w:rsidRDefault="009A3AB2" w:rsidP="006C290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kk-KZ"/>
              </w:rPr>
            </w:pPr>
            <w:r w:rsidRPr="00AE1963">
              <w:rPr>
                <w:rFonts w:ascii="Arial Narrow" w:hAnsi="Arial Narrow" w:cs="Arial"/>
                <w:i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1736" w:type="dxa"/>
          </w:tcPr>
          <w:p w:rsidR="009A3AB2" w:rsidRPr="00B12B1D" w:rsidRDefault="00423B0F" w:rsidP="006C290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1201</w:t>
            </w:r>
          </w:p>
        </w:tc>
      </w:tr>
    </w:tbl>
    <w:p w:rsidR="009A3AB2" w:rsidRPr="001E61C9" w:rsidRDefault="009A3AB2" w:rsidP="009A3AB2">
      <w:pPr>
        <w:rPr>
          <w:rFonts w:ascii="Arial Narrow" w:hAnsi="Arial Narrow" w:cs="Arial"/>
          <w:sz w:val="28"/>
          <w:szCs w:val="28"/>
          <w:u w:val="single"/>
          <w:lang w:val="kk-KZ"/>
        </w:rPr>
      </w:pPr>
    </w:p>
    <w:p w:rsidR="009A3AB2" w:rsidRPr="00164F5D" w:rsidRDefault="009A3AB2" w:rsidP="009A3AB2">
      <w:pPr>
        <w:rPr>
          <w:rFonts w:ascii="Arial Narrow" w:hAnsi="Arial Narrow" w:cs="Arial"/>
          <w:lang w:val="kk-KZ"/>
        </w:rPr>
      </w:pPr>
    </w:p>
    <w:p w:rsidR="009A3AB2" w:rsidRDefault="009A3AB2" w:rsidP="009A3AB2"/>
    <w:p w:rsidR="009A3AB2" w:rsidRDefault="009A3AB2"/>
    <w:p w:rsidR="009A3AB2" w:rsidRDefault="009A3AB2"/>
    <w:sectPr w:rsidR="009A3AB2" w:rsidSect="0072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6D9C"/>
    <w:multiLevelType w:val="multilevel"/>
    <w:tmpl w:val="F8600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220553F"/>
    <w:multiLevelType w:val="multilevel"/>
    <w:tmpl w:val="F8600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7D62D8A"/>
    <w:multiLevelType w:val="multilevel"/>
    <w:tmpl w:val="F8600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A4"/>
    <w:rsid w:val="00070778"/>
    <w:rsid w:val="000A7984"/>
    <w:rsid w:val="000B77EB"/>
    <w:rsid w:val="00127167"/>
    <w:rsid w:val="001B2712"/>
    <w:rsid w:val="0033310E"/>
    <w:rsid w:val="003A6589"/>
    <w:rsid w:val="00423B0F"/>
    <w:rsid w:val="00490767"/>
    <w:rsid w:val="004C2CA4"/>
    <w:rsid w:val="007367C5"/>
    <w:rsid w:val="007C203F"/>
    <w:rsid w:val="008F3ED9"/>
    <w:rsid w:val="009A3AB2"/>
    <w:rsid w:val="00AF6B04"/>
    <w:rsid w:val="00B12B1D"/>
    <w:rsid w:val="00BF0C7F"/>
    <w:rsid w:val="00ED3C7B"/>
    <w:rsid w:val="00F131C0"/>
    <w:rsid w:val="00F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2022-02-06T10:22:00Z</cp:lastPrinted>
  <dcterms:created xsi:type="dcterms:W3CDTF">2021-09-27T09:17:00Z</dcterms:created>
  <dcterms:modified xsi:type="dcterms:W3CDTF">2024-11-04T13:35:00Z</dcterms:modified>
</cp:coreProperties>
</file>